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/>
          <w:snapToGrid w:val="0"/>
          <w:color w:val="FF3300"/>
          <w:spacing w:val="50"/>
          <w:sz w:val="84"/>
        </w:rPr>
      </w:pPr>
      <w:r>
        <w:rPr>
          <w:rFonts w:hint="default" w:ascii="Times New Roman" w:hAnsi="Times New Roman" w:eastAsia="方正小标宋_GBK" w:cs="Times New Roman"/>
          <w:b/>
          <w:snapToGrid w:val="0"/>
          <w:color w:val="FF3300"/>
          <w:spacing w:val="50"/>
          <w:sz w:val="84"/>
        </w:rPr>
        <w:t>南京晓庄学院文件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7"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  <w:t>南晓院〔20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  <w:t>〕</w:t>
      </w:r>
      <w:r>
        <w:rPr>
          <w:rFonts w:hint="default" w:ascii="Times New Roman" w:hAnsi="Times New Roman" w:cs="Times New Roman"/>
          <w:b/>
          <w:bCs/>
          <w:snapToGrid w:val="0"/>
          <w:color w:val="00000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11430</wp:posOffset>
                </wp:positionV>
                <wp:extent cx="5788660" cy="0"/>
                <wp:effectExtent l="0" t="19050" r="254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86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5pt;margin-top:0.9pt;height:0pt;width:455.8pt;z-index:251658240;mso-width-relative:page;mso-height-relative:page;" filled="f" stroked="t" coordsize="21600,21600" o:gfxdata="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HhAdfWAAAABwEAAA8AAAAAAAAAAQAg&#10;AAAAIgAAAGRycy9kb3ducmV2LnhtbFBLAQIUABQAAAAIAIdO4kAZxoFN1wEAAHUDAAAOAAAAAAAA&#10;AAEAIAAAACU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关于印发《南京晓庄学院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  <w:t>对合作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供应商管理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考核指导意见（试行）》的通知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各二级学院、各部门：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napToGrid w:val="0"/>
          <w:spacing w:val="0"/>
          <w:w w:val="100"/>
          <w:kern w:val="0"/>
          <w:sz w:val="32"/>
          <w:szCs w:val="32"/>
        </w:rPr>
        <w:t>南京晓庄学院</w:t>
      </w:r>
      <w:r>
        <w:rPr>
          <w:rFonts w:hint="default" w:ascii="Times New Roman" w:hAnsi="Times New Roman" w:eastAsia="仿宋_GB2312" w:cs="Times New Roman"/>
          <w:snapToGrid w:val="0"/>
          <w:spacing w:val="0"/>
          <w:w w:val="100"/>
          <w:kern w:val="0"/>
          <w:sz w:val="32"/>
          <w:szCs w:val="32"/>
          <w:lang w:val="en-US" w:eastAsia="zh-CN"/>
        </w:rPr>
        <w:t>对合作</w:t>
      </w:r>
      <w:r>
        <w:rPr>
          <w:rFonts w:hint="default" w:ascii="Times New Roman" w:hAnsi="Times New Roman" w:eastAsia="仿宋_GB2312" w:cs="Times New Roman"/>
          <w:snapToGrid w:val="0"/>
          <w:spacing w:val="0"/>
          <w:w w:val="100"/>
          <w:kern w:val="0"/>
          <w:sz w:val="32"/>
          <w:szCs w:val="32"/>
        </w:rPr>
        <w:t>供应商管理考核指导意见（试行）》</w:t>
      </w:r>
      <w:r>
        <w:rPr>
          <w:rFonts w:hint="eastAsia" w:ascii="仿宋_GB2312" w:hAnsi="仿宋_GB2312" w:eastAsia="仿宋_GB2312" w:cs="仿宋_GB2312"/>
          <w:snapToGrid w:val="0"/>
          <w:spacing w:val="0"/>
          <w:w w:val="100"/>
          <w:kern w:val="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napToGrid w:val="0"/>
          <w:spacing w:val="0"/>
          <w:w w:val="100"/>
          <w:kern w:val="0"/>
          <w:sz w:val="32"/>
          <w:szCs w:val="32"/>
          <w:lang w:val="en-US" w:eastAsia="zh-CN"/>
        </w:rPr>
        <w:t>校长办公会、</w:t>
      </w:r>
      <w:r>
        <w:rPr>
          <w:rFonts w:hint="eastAsia" w:ascii="仿宋_GB2312" w:hAnsi="仿宋_GB2312" w:eastAsia="仿宋_GB2312" w:cs="仿宋_GB2312"/>
          <w:snapToGrid w:val="0"/>
          <w:spacing w:val="0"/>
          <w:w w:val="100"/>
          <w:kern w:val="0"/>
          <w:sz w:val="32"/>
          <w:szCs w:val="32"/>
        </w:rPr>
        <w:t>校党委常委会审议通过，现印发给你们，请结合实际认真贯彻执行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南京晓庄学院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44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588" w:bottom="2098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4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kern w:val="44"/>
          <w:sz w:val="44"/>
          <w:szCs w:val="44"/>
        </w:rPr>
        <w:t>南京晓庄学院</w:t>
      </w:r>
      <w:r>
        <w:rPr>
          <w:rFonts w:hint="default" w:ascii="Times New Roman" w:hAnsi="Times New Roman" w:eastAsia="方正小标宋_GBK" w:cs="Times New Roman"/>
          <w:b/>
          <w:bCs/>
          <w:color w:val="auto"/>
          <w:kern w:val="44"/>
          <w:sz w:val="44"/>
          <w:szCs w:val="44"/>
          <w:lang w:val="en-US" w:eastAsia="zh-CN"/>
        </w:rPr>
        <w:t>对合作</w:t>
      </w:r>
      <w:r>
        <w:rPr>
          <w:rFonts w:hint="default" w:ascii="Times New Roman" w:hAnsi="Times New Roman" w:eastAsia="方正小标宋_GBK" w:cs="Times New Roman"/>
          <w:b/>
          <w:bCs/>
          <w:color w:val="auto"/>
          <w:kern w:val="44"/>
          <w:sz w:val="44"/>
          <w:szCs w:val="44"/>
        </w:rPr>
        <w:t>供应商管理考核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4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kern w:val="44"/>
          <w:sz w:val="44"/>
          <w:szCs w:val="44"/>
        </w:rPr>
        <w:t>指导意见（试行）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供应商的过程管理，压实合同履行单位的主体责任，保证采购质量，提高采购效率，推进诚信体系建设，维护学校的合法权益，根据国家相关法律法规及《南京晓庄学院采购与招标投标管理办法（试行）》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南京晓庄学院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经济合同管理办法（试行）》等有关文件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要求，结合学校实际，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提出本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公平原则。以合同签订条款为依据，按照合同执行进度进行考核。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（二）分类考核原则。按供应商对应的类别，分类逐项进行考核。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（三）主体对应原则。由合同履行单位对各自的供应商进行考核。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（四）部门联动原则。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国有资产管理处、财务处、业务归口管理部门、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合同履行单位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之间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主动协调、积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配合、齐抓共管、各尽其责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（五）突出重点原则。聚焦关键指标，注重绩效。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二、考核范围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本意见所称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供应商，是指通过招标（合同金额10万元以上）确定的为学校提供服务、货物及工程施工等类型的法人企业。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服务类供应商包括：物业管理公司，车辆租赁公司，设备维修公司，软件供应商，咨询服务公司，餐饮经营公司，服务中心入驻的服务型企业等。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货物类供应商包括：实验室建设项目供货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，家俱类供应商，各类设备供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工程类供应商包括：室内装饰装修企业，室外基础设施建设单位，校舍小型维修服务企业等。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三、责任分工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（一）国有资产管理处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统筹对合作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供应商管理考核的相关工作，主要职责有：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1.负责供应商资格审核、准入管理；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2.负责合同履行过程的监管；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3.考核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汇总工作。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（二）合同履行单位负责对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供应商进行管理考核的具体工作，主要职责有：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1.制定并上报对供应商考核的细则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细则作为招标文件的内容之一。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2.组织对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供应商进行中期考核和终期考核；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3.上报考核结果。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四、考核主要内容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（一）基本信息填报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校内合同履行单位应将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供应商的详细信息报学校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国有资产管理处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，报送的情况详见附表1《南京晓庄学院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供应商基本信息表，国有资产管理处将对相关信息进行审核。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供应商的考核内容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校内合同履行单位应承担起履行合同的主体责任，加强对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供应商的过程管理，督促供应商认真履行合同。管理考核的依据主要是：招标文件，投标文件，合同（合作协议），承诺书、投诉事件、主流媒体曝光事件等。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1．对服务类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管理考核的主要内容为：服务人员配备岗位数额，配备人员的聘用合同，配备设备的合格证明，配备人员必须的上岗证明，健康证明，企业营业许可范围，操作规范规程，服务要求，以及与使用单位的配合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2．对货物类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供应商管理考核的主要内容为：供货期履行情况，货物数量、规格、型号、质量合格证，安装调试服务，使用性能指标，质保期管理等。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3．对工程类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供应商管理考核的主要内容为：文明施工，质量控制，进度控制，造价控制，安全生产管理，信息管理，合同管理，施工现场组织协调能力等。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五、考核方法和要求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合同履行单位应根据考核内容分项目认真制定考核细则。常规服务性项目如饮食服务、物业服务、绿化服务、服务中心入驻单位等应有规范性的管理考核办法；货物类和工程类项目应以货品验收和工程验收为依据。根据考核情况，将供应商分为优、良、合格和不合格四个等级。考核分为中期考核和终期考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终期考核结果须上报国有资产管理处，货物类和工程类在合同约定的质保期结束后，还应上报对合作供应商的综合评价结果。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考核可采用现场检查、抽查、问卷调查、组织评审会等方法进行，考核小组成员自定。国有资产管理处将进行专项检查。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 对服务类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供应商考核的要求：合同履行单位应根据服务合同的年限和付款进行考核。合同期超过一年的，每年进行一次中期考核，合同到期时进行一次终期考核；合同期在一年内（含一年）的只在付清全部款项时进行终期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（二） 对货物类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供应商考核的要求：半年内完成交付验收的项目，只进行终期考核；交付验收超过半年的项目，应根据供货合同和安装进度进行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中期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考核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在付款达到70%及以上时，进行中期考核，验收合格付清全部款项时进行终期考核。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（三） 对工程类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供应商考核的要求：对大型基本建设项目，应在支付工程进度款达到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0%及以上时，进行中期考核，项目完成时进行终期考核；对小型维修工程类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合作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供应商按项目在工程结束支付款项时只进行终期考核；校内小型维修资格标中标单位可不分项目进行终期考核评价。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六、考核结果的应用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（一）考核结果将作为被考核对象今后能否进入我校市场的参考。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1．考核优秀的供应商，可以享受以下权利：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（1）可获得学校自行组织的邀请招标、询价采购、竞争性谈判等采购项目的参与资格。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（2）对预算金额10 万元以下的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采购项目，经学校国有资产管理处审批后，使用单位可直接选取商家成交，也可从中通过比价的方式确定。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2.中期考核或终期考核结果不合格的供应商，由国有资产管理处会同相关单位进行复查，复查情况属实，应责成供应商限期整改并按合同违约责任的约定处理。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（二）对存在下列违法违规行为的供应商，其行为将被记入供应商诚信档案，进入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“违法失信行为记录名单”。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1.提供虚假材料谋取中标、成交或在投标中存在陪标、串标、围标等行为；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2.采取不正当手段诋毁、排挤其他供应商；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3.与采购人、其他供应商或者采购代理机构恶意串通；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4.拒绝学校相关部门监督检查或者提供虚假情况；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5.向评标委员会、竞争性谈判小组或者询价小组成员行贿或者提供其他不正当利益；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6.不按相关规定，进行恶意质疑、投诉或诋毁；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7.中标或者成交后无正当理由拖延或拒不领取中标通知书，无正当理由拖延或拒不与采购人签订采购合同；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8.不按照采购文件确定的事项签订合同；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9.将采购合同转包、违法分包；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10.不按合同履约，提供假冒伪劣等质量不合格产品；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11.擅自变更、中止或者终止采购合同；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12.其他违法违规行为。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七、本指导意见解释权归南京晓庄学院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国有资产管理处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八、本指导意见自发布之日起开始试行。</w:t>
      </w: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6" w:space="0"/>
          <w:bottom w:val="single" w:color="auto" w:sz="4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302"/>
      </w:tblGrid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8"/>
                <w:szCs w:val="28"/>
              </w:rPr>
              <w:t>南京晓庄学院校长办公室</w:t>
            </w:r>
          </w:p>
        </w:tc>
        <w:tc>
          <w:tcPr>
            <w:tcW w:w="43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210" w:right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8"/>
                <w:szCs w:val="28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  <w:t>附件1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color w:val="auto"/>
          <w:kern w:val="0"/>
          <w:sz w:val="36"/>
          <w:szCs w:val="36"/>
        </w:rPr>
        <w:t>南京晓庄学院</w:t>
      </w:r>
      <w:r>
        <w:rPr>
          <w:rFonts w:hint="default" w:ascii="Times New Roman" w:hAnsi="Times New Roman" w:eastAsia="黑体" w:cs="Times New Roman"/>
          <w:b/>
          <w:color w:val="auto"/>
          <w:kern w:val="0"/>
          <w:sz w:val="36"/>
          <w:szCs w:val="36"/>
          <w:lang w:val="en-US" w:eastAsia="zh-CN"/>
        </w:rPr>
        <w:t>合作</w:t>
      </w:r>
      <w:r>
        <w:rPr>
          <w:rFonts w:hint="default" w:ascii="Times New Roman" w:hAnsi="Times New Roman" w:eastAsia="黑体" w:cs="Times New Roman"/>
          <w:b/>
          <w:color w:val="auto"/>
          <w:kern w:val="0"/>
          <w:sz w:val="36"/>
          <w:szCs w:val="36"/>
        </w:rPr>
        <w:t>供应商基本信息表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黑体" w:cs="Times New Roman"/>
          <w:b/>
          <w:color w:val="auto"/>
          <w:kern w:val="0"/>
          <w:sz w:val="36"/>
          <w:szCs w:val="36"/>
        </w:rPr>
      </w:pPr>
    </w:p>
    <w:tbl>
      <w:tblPr>
        <w:tblStyle w:val="4"/>
        <w:tblW w:w="101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3045"/>
        <w:gridCol w:w="2127"/>
        <w:gridCol w:w="28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21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单位名称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（加盖公章）</w:t>
            </w:r>
          </w:p>
        </w:tc>
        <w:tc>
          <w:tcPr>
            <w:tcW w:w="80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1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法定代表人姓名</w:t>
            </w:r>
          </w:p>
        </w:tc>
        <w:tc>
          <w:tcPr>
            <w:tcW w:w="30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联系电话及E-mail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1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法人授权委托人</w:t>
            </w:r>
          </w:p>
        </w:tc>
        <w:tc>
          <w:tcPr>
            <w:tcW w:w="30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联系电话及E-mail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1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统一社会信用代码</w:t>
            </w:r>
          </w:p>
        </w:tc>
        <w:tc>
          <w:tcPr>
            <w:tcW w:w="30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□一般纳税人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□小规模纳税人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□居民企业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□其 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成立日期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营业期限至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exac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单位类型</w:t>
            </w:r>
          </w:p>
        </w:tc>
        <w:tc>
          <w:tcPr>
            <w:tcW w:w="8007" w:type="dxa"/>
            <w:gridSpan w:val="3"/>
            <w:vAlign w:val="center"/>
          </w:tcPr>
          <w:p>
            <w:pPr>
              <w:widowControl/>
              <w:spacing w:line="300" w:lineRule="atLeas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国有企业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国有控股企业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外资企业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合资企业</w:t>
            </w:r>
          </w:p>
          <w:p>
            <w:pPr>
              <w:widowControl/>
              <w:spacing w:line="300" w:lineRule="atLeast"/>
              <w:ind w:firstLine="240" w:firstLineChars="1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私营企业(民营企业)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事业单位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单位性质</w:t>
            </w:r>
          </w:p>
        </w:tc>
        <w:tc>
          <w:tcPr>
            <w:tcW w:w="8007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□国有  □集体  □私营  □三资  □个体  □其他: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单位取得资质</w:t>
            </w:r>
          </w:p>
        </w:tc>
        <w:tc>
          <w:tcPr>
            <w:tcW w:w="8007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主要经营范围</w:t>
            </w:r>
          </w:p>
        </w:tc>
        <w:tc>
          <w:tcPr>
            <w:tcW w:w="8007" w:type="dxa"/>
            <w:gridSpan w:val="3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近三年来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主要经营业绩</w:t>
            </w:r>
          </w:p>
        </w:tc>
        <w:tc>
          <w:tcPr>
            <w:tcW w:w="8007" w:type="dxa"/>
            <w:gridSpan w:val="3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142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近三年有无违法记录</w:t>
            </w:r>
          </w:p>
        </w:tc>
        <w:tc>
          <w:tcPr>
            <w:tcW w:w="8007" w:type="dxa"/>
            <w:gridSpan w:val="3"/>
            <w:vAlign w:val="center"/>
          </w:tcPr>
          <w:p>
            <w:pPr>
              <w:widowControl/>
              <w:spacing w:line="300" w:lineRule="atLeas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 xml:space="preserve">   □无      □有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_____________________________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  <w:jc w:val="center"/>
        </w:trPr>
        <w:tc>
          <w:tcPr>
            <w:tcW w:w="21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承 诺</w:t>
            </w:r>
          </w:p>
        </w:tc>
        <w:tc>
          <w:tcPr>
            <w:tcW w:w="800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360" w:firstLineChars="150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60" w:firstLineChars="150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本人/公司郑重承诺，以上所填内容真实、完整。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                                      签名</w:t>
            </w:r>
          </w:p>
          <w:p>
            <w:pPr>
              <w:widowControl/>
              <w:ind w:right="960"/>
              <w:jc w:val="right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年    月    日</w:t>
            </w:r>
          </w:p>
        </w:tc>
      </w:tr>
    </w:tbl>
    <w:p>
      <w:pPr>
        <w:spacing w:beforeLines="50" w:line="200" w:lineRule="exact"/>
        <w:jc w:val="both"/>
        <w:rPr>
          <w:rFonts w:hint="default" w:ascii="Times New Roman" w:hAnsi="Times New Roman" w:cs="Times New Roman"/>
          <w:b/>
          <w:color w:val="auto"/>
          <w:sz w:val="24"/>
        </w:rPr>
      </w:pPr>
    </w:p>
    <w:sectPr>
      <w:pgSz w:w="11906" w:h="16838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2052642103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- 5 -</w:t>
        </w:r>
        <w:r>
          <w:rPr>
            <w:rStyle w:val="7"/>
          </w:rPr>
          <w:fldChar w:fldCharType="end"/>
        </w:r>
      </w:p>
    </w:sdtContent>
  </w:sdt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51391121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round" w:vAnchor="text" w:hAnchor="margin" w:xAlign="center" w:y="1"/>
          <w:rPr>
            <w:rStyle w:val="7"/>
          </w:rPr>
        </w:pPr>
        <w:r>
          <w:rPr>
            <w:rStyle w:val="7"/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Style w:val="7"/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</w:instrText>
        </w:r>
        <w:r>
          <w:rPr>
            <w:rStyle w:val="7"/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Style w:val="7"/>
            <w:rFonts w:hint="eastAsia" w:asciiTheme="minorEastAsia" w:hAnsiTheme="minorEastAsia" w:eastAsiaTheme="minorEastAsia" w:cstheme="minorEastAsia"/>
            <w:sz w:val="28"/>
            <w:szCs w:val="28"/>
          </w:rPr>
          <w:t>- 6 -</w:t>
        </w:r>
        <w:r>
          <w:rPr>
            <w:rStyle w:val="7"/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C"/>
    <w:rsid w:val="000242B7"/>
    <w:rsid w:val="00053AEE"/>
    <w:rsid w:val="000559A9"/>
    <w:rsid w:val="000850F3"/>
    <w:rsid w:val="00090C19"/>
    <w:rsid w:val="0009303D"/>
    <w:rsid w:val="00097511"/>
    <w:rsid w:val="000A441D"/>
    <w:rsid w:val="000B7326"/>
    <w:rsid w:val="0010756F"/>
    <w:rsid w:val="0011171F"/>
    <w:rsid w:val="001162E5"/>
    <w:rsid w:val="00121E1B"/>
    <w:rsid w:val="001258FC"/>
    <w:rsid w:val="0015175B"/>
    <w:rsid w:val="001640CB"/>
    <w:rsid w:val="001652E7"/>
    <w:rsid w:val="0016750B"/>
    <w:rsid w:val="001713A0"/>
    <w:rsid w:val="00192605"/>
    <w:rsid w:val="001B35CB"/>
    <w:rsid w:val="001C581B"/>
    <w:rsid w:val="001C6C2C"/>
    <w:rsid w:val="001E3BF4"/>
    <w:rsid w:val="0020413B"/>
    <w:rsid w:val="00204E59"/>
    <w:rsid w:val="00206F51"/>
    <w:rsid w:val="00207420"/>
    <w:rsid w:val="00270AA1"/>
    <w:rsid w:val="0029359D"/>
    <w:rsid w:val="002D1485"/>
    <w:rsid w:val="002F1007"/>
    <w:rsid w:val="00303D8F"/>
    <w:rsid w:val="003043F7"/>
    <w:rsid w:val="00315F7C"/>
    <w:rsid w:val="00342DEF"/>
    <w:rsid w:val="0034510C"/>
    <w:rsid w:val="0035019F"/>
    <w:rsid w:val="00350AD5"/>
    <w:rsid w:val="003632CB"/>
    <w:rsid w:val="003745C5"/>
    <w:rsid w:val="00394C4A"/>
    <w:rsid w:val="0039548A"/>
    <w:rsid w:val="00397DC2"/>
    <w:rsid w:val="003A49F6"/>
    <w:rsid w:val="003A7FF2"/>
    <w:rsid w:val="003B06AB"/>
    <w:rsid w:val="003C084F"/>
    <w:rsid w:val="003D65E0"/>
    <w:rsid w:val="004078F9"/>
    <w:rsid w:val="00427982"/>
    <w:rsid w:val="00437677"/>
    <w:rsid w:val="00451AE7"/>
    <w:rsid w:val="004563F2"/>
    <w:rsid w:val="00460C52"/>
    <w:rsid w:val="00464714"/>
    <w:rsid w:val="00485249"/>
    <w:rsid w:val="00485F82"/>
    <w:rsid w:val="0049391A"/>
    <w:rsid w:val="004C598A"/>
    <w:rsid w:val="004D6941"/>
    <w:rsid w:val="00506AEE"/>
    <w:rsid w:val="00507871"/>
    <w:rsid w:val="0052474E"/>
    <w:rsid w:val="00537F76"/>
    <w:rsid w:val="00552D7C"/>
    <w:rsid w:val="00556B01"/>
    <w:rsid w:val="00557D6F"/>
    <w:rsid w:val="005A268C"/>
    <w:rsid w:val="005C1E7C"/>
    <w:rsid w:val="0060615A"/>
    <w:rsid w:val="00620B28"/>
    <w:rsid w:val="00622B99"/>
    <w:rsid w:val="00643EF7"/>
    <w:rsid w:val="00695713"/>
    <w:rsid w:val="006C044D"/>
    <w:rsid w:val="006E68CC"/>
    <w:rsid w:val="006F1248"/>
    <w:rsid w:val="00702E2F"/>
    <w:rsid w:val="00706084"/>
    <w:rsid w:val="0071466E"/>
    <w:rsid w:val="007225B5"/>
    <w:rsid w:val="0072417F"/>
    <w:rsid w:val="00724450"/>
    <w:rsid w:val="007414C5"/>
    <w:rsid w:val="0074735D"/>
    <w:rsid w:val="00765098"/>
    <w:rsid w:val="00771ACF"/>
    <w:rsid w:val="007C3CCA"/>
    <w:rsid w:val="007F6641"/>
    <w:rsid w:val="007F6FB1"/>
    <w:rsid w:val="00801FDF"/>
    <w:rsid w:val="00811787"/>
    <w:rsid w:val="00832D41"/>
    <w:rsid w:val="00840F5C"/>
    <w:rsid w:val="00841A53"/>
    <w:rsid w:val="0084389C"/>
    <w:rsid w:val="008447A9"/>
    <w:rsid w:val="008561F0"/>
    <w:rsid w:val="008835C7"/>
    <w:rsid w:val="0088394E"/>
    <w:rsid w:val="008A6689"/>
    <w:rsid w:val="008D7546"/>
    <w:rsid w:val="008E6842"/>
    <w:rsid w:val="009046CD"/>
    <w:rsid w:val="00921EA0"/>
    <w:rsid w:val="0092251E"/>
    <w:rsid w:val="00937459"/>
    <w:rsid w:val="00947A13"/>
    <w:rsid w:val="00995A43"/>
    <w:rsid w:val="009F13EC"/>
    <w:rsid w:val="009F309E"/>
    <w:rsid w:val="00A220FB"/>
    <w:rsid w:val="00A2737F"/>
    <w:rsid w:val="00A45AF7"/>
    <w:rsid w:val="00A53376"/>
    <w:rsid w:val="00A56C9A"/>
    <w:rsid w:val="00A57454"/>
    <w:rsid w:val="00A84028"/>
    <w:rsid w:val="00A97AFA"/>
    <w:rsid w:val="00AA4749"/>
    <w:rsid w:val="00AC3773"/>
    <w:rsid w:val="00AD51FF"/>
    <w:rsid w:val="00AD6E6F"/>
    <w:rsid w:val="00AE6AA1"/>
    <w:rsid w:val="00AF6968"/>
    <w:rsid w:val="00B01D3A"/>
    <w:rsid w:val="00B144CF"/>
    <w:rsid w:val="00B5014A"/>
    <w:rsid w:val="00B61E76"/>
    <w:rsid w:val="00B7014F"/>
    <w:rsid w:val="00B96A28"/>
    <w:rsid w:val="00BB4A20"/>
    <w:rsid w:val="00BC0C39"/>
    <w:rsid w:val="00BE2485"/>
    <w:rsid w:val="00BE3B01"/>
    <w:rsid w:val="00C36B58"/>
    <w:rsid w:val="00C45C41"/>
    <w:rsid w:val="00C46F4D"/>
    <w:rsid w:val="00C61EAC"/>
    <w:rsid w:val="00C86493"/>
    <w:rsid w:val="00C92D4F"/>
    <w:rsid w:val="00CD4AEE"/>
    <w:rsid w:val="00D01BF7"/>
    <w:rsid w:val="00D03DBA"/>
    <w:rsid w:val="00D1744E"/>
    <w:rsid w:val="00D37370"/>
    <w:rsid w:val="00D508A5"/>
    <w:rsid w:val="00D876C2"/>
    <w:rsid w:val="00DA3C84"/>
    <w:rsid w:val="00DC7330"/>
    <w:rsid w:val="00DD7579"/>
    <w:rsid w:val="00DE00C0"/>
    <w:rsid w:val="00DF0609"/>
    <w:rsid w:val="00E30D85"/>
    <w:rsid w:val="00E34BBF"/>
    <w:rsid w:val="00E36AF4"/>
    <w:rsid w:val="00E45697"/>
    <w:rsid w:val="00E47FF2"/>
    <w:rsid w:val="00E705CE"/>
    <w:rsid w:val="00E9445D"/>
    <w:rsid w:val="00EC4A1D"/>
    <w:rsid w:val="00ED55DF"/>
    <w:rsid w:val="00EE2569"/>
    <w:rsid w:val="00EF0345"/>
    <w:rsid w:val="00EF4374"/>
    <w:rsid w:val="00F210F0"/>
    <w:rsid w:val="00F35B52"/>
    <w:rsid w:val="00F47A3D"/>
    <w:rsid w:val="00F571E2"/>
    <w:rsid w:val="00F73FAA"/>
    <w:rsid w:val="00F76483"/>
    <w:rsid w:val="00FA5BFC"/>
    <w:rsid w:val="00FB17E4"/>
    <w:rsid w:val="00FC19E7"/>
    <w:rsid w:val="00FC58FB"/>
    <w:rsid w:val="00FD2DE4"/>
    <w:rsid w:val="00FD5230"/>
    <w:rsid w:val="00FE45E9"/>
    <w:rsid w:val="01EC166A"/>
    <w:rsid w:val="023A10F3"/>
    <w:rsid w:val="04100224"/>
    <w:rsid w:val="0A2F0AE3"/>
    <w:rsid w:val="0B0117C7"/>
    <w:rsid w:val="0DCA140E"/>
    <w:rsid w:val="13187FFC"/>
    <w:rsid w:val="15F43A38"/>
    <w:rsid w:val="17DD2320"/>
    <w:rsid w:val="211669E8"/>
    <w:rsid w:val="23881E4D"/>
    <w:rsid w:val="26D46330"/>
    <w:rsid w:val="27F015B3"/>
    <w:rsid w:val="294E673A"/>
    <w:rsid w:val="2E9E758C"/>
    <w:rsid w:val="35CF79EA"/>
    <w:rsid w:val="36014465"/>
    <w:rsid w:val="3AC22304"/>
    <w:rsid w:val="3C4F0F14"/>
    <w:rsid w:val="3E85636F"/>
    <w:rsid w:val="3F0A0DA5"/>
    <w:rsid w:val="3F62120B"/>
    <w:rsid w:val="48880922"/>
    <w:rsid w:val="49A93AB7"/>
    <w:rsid w:val="4D62490F"/>
    <w:rsid w:val="55756DD4"/>
    <w:rsid w:val="584844AA"/>
    <w:rsid w:val="59570B53"/>
    <w:rsid w:val="597D1CCB"/>
    <w:rsid w:val="6198077D"/>
    <w:rsid w:val="68E76A67"/>
    <w:rsid w:val="715A39FA"/>
    <w:rsid w:val="74156927"/>
    <w:rsid w:val="76890A59"/>
    <w:rsid w:val="775D1490"/>
    <w:rsid w:val="7E4036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page number"/>
    <w:basedOn w:val="5"/>
    <w:semiHidden/>
    <w:unhideWhenUsed/>
    <w:qFormat/>
    <w:uiPriority w:val="99"/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8011A-6F6B-4461-AE21-4BD282F0DF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680</Words>
  <Characters>3877</Characters>
  <Lines>32</Lines>
  <Paragraphs>9</Paragraphs>
  <TotalTime>1</TotalTime>
  <ScaleCrop>false</ScaleCrop>
  <LinksUpToDate>false</LinksUpToDate>
  <CharactersWithSpaces>4548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2020-05-24T08:14:00Z</dcterms:created>
  <dc:creator>14220361@qq.com</dc:creator>
  <cp:lastModifiedBy>要去加德满都喝日落</cp:lastModifiedBy>
  <cp:lastPrinted>2020-05-24T09:04:00Z</cp:lastPrinted>
  <dcterms:modified xsi:type="dcterms:W3CDTF">2020-06-16T07:56:37Z</dcterms:modified>
  <dc:title>南京晓庄学院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